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eastAsia="Calibri" w:eastAsiaTheme="minorHAnsi"/>
          <w:lang w:eastAsia="en-US"/>
        </w:rPr>
      </w:pPr>
      <w:r>
        <w:rPr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/>
      </w:r>
    </w:p>
    <w:p>
      <w:pPr>
        <w:pStyle w:val="Normal"/>
        <w:jc w:val="center"/>
        <w:rPr>
          <w:b/>
          <w:b/>
          <w:sz w:val="18"/>
          <w:szCs w:val="1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55995" cy="94354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943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eastAsiaTheme="minorHAnsi"/>
          <w:lang w:eastAsia="en-US"/>
        </w:rPr>
        <w:t>П</w:t>
      </w:r>
      <w:r>
        <w:rPr>
          <w:rFonts w:eastAsia="Calibri" w:eastAsiaTheme="minorHAnsi"/>
          <w:lang w:eastAsia="en-US"/>
        </w:rPr>
        <w:t>ОЯСНИТЕЛЬНАЯ ЗАПИСКА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left"/>
        <w:rPr/>
      </w:pPr>
      <w:r>
        <w:rPr>
          <w:rFonts w:eastAsia="Calibri" w:eastAsiaTheme="minorHAnsi"/>
          <w:lang w:eastAsia="en-US"/>
        </w:rPr>
        <w:t xml:space="preserve">    </w:t>
      </w:r>
      <w:r>
        <w:rPr>
          <w:rFonts w:eastAsia="Calibri" w:eastAsiaTheme="minorHAnsi"/>
          <w:lang w:eastAsia="en-US"/>
        </w:rPr>
        <w:t>Муниципальное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«Теремок», осуществляет реализацию основной общеобразовательной программы дошкольного образования разработанной по программе «От рождения до школы» под редакцией Н.Е.Вераксы, Т.С. Комаровой, М.А.Васильевой, национально-региональный компонент Деменковой Н.И. «Окружающий мир» (хурээлел)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-программы по русскому языку для старших  групп Ф.М. Бартан. 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Учебный план разработан в соответствии с 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</w:t>
      </w:r>
      <w:r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>
        <w:rPr>
          <w:rFonts w:eastAsia="Calibri" w:eastAsiaTheme="minorHAnsi"/>
          <w:lang w:eastAsia="en-US"/>
        </w:rPr>
        <w:t xml:space="preserve">Приказ Минобрнауки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-Положением о лицензировании образовательной деятельности, утвержденным постановлением Правительства Российской Федерации от 16.03.2011 г. № 174;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-Уставом ДОУ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2023-2024 учебном году в ДОУ функционируют следующие группы: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2 группа раннего возраста (1,6-2 года) – 16  «Чодураа»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1 младшая группа (2-3лет) -  14 «Хунчугеш» 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2 младшая группа (3-4 лет) - 14«Рябина»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Средняя группа (4-5 лет ) –   16«Радуга»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Старшая группа (5-6 лет) –    13«Ромашка»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>Продолжительность НОД: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 группа раннего возраста  – не более 10 минут с перерывом 10 минут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>- I младшей группе – 10  минут с перерывом 10 минут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>- II младшей группе – 15  минут с перерывом 10 минут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>- средней группе – 20 минут с перерывом 10 минут.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 xml:space="preserve">- старшей группе – 25 минут с перерывом 10 минут.      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детском саду образовательная деятельность строится по трем направлениям: ФОП, ОД в режимных моментах, ОД в самостоятельной деятельности. Каждый вид ОД отражен в учебном плане.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  <w:t xml:space="preserve">ФОП  МБДОУ «Теремок» с. Арыг-Узуу обеспечивает разностороннее развитие детей в возрасте от 1,6 до 6 лет с учетом их возрастных и индивидуальных особенностей по основным направлениям – физическому развитию, социально-коммуникативному развитию, познавательному развитию  и художественно-эстетическому, речевому развитию.  Программа обеспечивает достижение воспитанниками готовности к школе. 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  <w:t>Продолжительность учебной недели – 5 дней.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eastAsia="Calibri" w:cs="Times New Roman" w:eastAsiaTheme="minorHAnsi"/>
          <w:lang w:eastAsia="en-US"/>
        </w:rPr>
        <w:t>Время пребывания ребенка в течение дня 10,5 часов.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 </w:t>
      </w:r>
      <w:r>
        <w:rPr>
          <w:rFonts w:eastAsia="Calibri" w:cs="Times New Roman" w:eastAsiaTheme="minorHAnsi"/>
          <w:lang w:eastAsia="en-US"/>
        </w:rPr>
        <w:t>Формами организации повседневной жизни детей являются: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  <w:t>Прогулка, которая включает наблюдения за природой, окружающей жизнью, подвижные игры. Труд в природе и на участке, самостоятельную игровую деятельность, экскурсии.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  <w:t>Игры: сюжетно-ролевые; дидактические игры; игры-драматизации; спортивные игры; строительные.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  <w:t>Развлечения, праздники, показ театров, вечера-досуги.</w:t>
      </w:r>
    </w:p>
    <w:p>
      <w:pPr>
        <w:pStyle w:val="NoSpacing"/>
        <w:ind w:firstLine="426"/>
        <w:rPr>
          <w:rFonts w:ascii="Times New Roman" w:hAnsi="Times New Roman" w:cs="Times New Roman"/>
        </w:rPr>
      </w:pPr>
      <w:r>
        <w:rPr>
          <w:rFonts w:cs="Times New Roman"/>
        </w:rPr>
        <w:t>Экспериментирование. Проектная деятельность. Чтение художественной литературы.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cs="Times New Roman" w:eastAsiaTheme="minorHAnsi"/>
          <w:lang w:eastAsia="en-US"/>
        </w:rPr>
        <w:t xml:space="preserve">Основной формой организации обучения в дошкольном образовательном учреждении является непосредственно образовательная деятельность (НОД).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 Организованная образовательная деятельность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Во </w:t>
      </w:r>
      <w:r>
        <w:rPr>
          <w:rFonts w:eastAsia="Calibri" w:eastAsiaTheme="minorHAnsi"/>
          <w:u w:val="single"/>
          <w:lang w:eastAsia="en-US"/>
        </w:rPr>
        <w:t>2-ой группе раннего возраста  (1,6-2 года), (2-3 года) у</w:t>
      </w:r>
      <w:r>
        <w:rPr>
          <w:rFonts w:eastAsia="Calibri" w:eastAsiaTheme="minorHAnsi"/>
          <w:lang w:eastAsia="en-US"/>
        </w:rPr>
        <w:t xml:space="preserve">чебный план состоит из инвариантной (обязательной) части, количество видов организованной образовательной деятельности в базовой части -10, что составляет 85%.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</w:t>
      </w:r>
      <w:r>
        <w:rPr>
          <w:rFonts w:eastAsia="Calibri" w:eastAsiaTheme="minorHAnsi"/>
          <w:u w:val="single"/>
          <w:lang w:eastAsia="en-US"/>
        </w:rPr>
        <w:t xml:space="preserve"> младших группах  (3-4 года) у</w:t>
      </w:r>
      <w:r>
        <w:rPr>
          <w:rFonts w:eastAsia="Calibri" w:eastAsiaTheme="minorHAnsi"/>
          <w:lang w:eastAsia="en-US"/>
        </w:rPr>
        <w:t xml:space="preserve">чебный план состоит из инвариантной (обязательной) части, количество видов организованной образовательной деятельности в базовой части </w:t>
      </w:r>
      <w:r>
        <w:rPr>
          <w:rFonts w:eastAsia="Calibri" w:eastAsiaTheme="minorHAnsi"/>
          <w:strike w:val="false"/>
          <w:dstrike w:val="false"/>
          <w:lang w:eastAsia="en-US"/>
        </w:rPr>
        <w:t>11, что составляет 84%. Вариативная согласно приказа Министерства образования и науки Республики Тыва №610д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«Торээн Тывам/Моя родная Тува» в вариативную часть включено 1 занятие по обучению детей родной (тувинскому) языку. Вариативная часть составляет 17%.</w:t>
      </w:r>
    </w:p>
    <w:p>
      <w:pPr>
        <w:pStyle w:val="Normal"/>
        <w:rPr>
          <w:rFonts w:eastAsia="Calibri" w:eastAsiaTheme="minorHAnsi"/>
          <w:strike w:val="false"/>
          <w:dstrike w:val="false"/>
          <w:lang w:eastAsia="en-US"/>
        </w:rPr>
      </w:pPr>
      <w:r>
        <w:rPr>
          <w:rFonts w:eastAsia="Calibri" w:eastAsiaTheme="minorHAnsi"/>
          <w:strike w:val="false"/>
          <w:dstrike w:val="false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средней</w:t>
      </w:r>
      <w:r>
        <w:rPr>
          <w:rFonts w:eastAsia="Calibri" w:eastAsiaTheme="minorHAnsi"/>
          <w:u w:val="single"/>
          <w:lang w:eastAsia="en-US"/>
        </w:rPr>
        <w:t xml:space="preserve"> группе (4-5 лет) у</w:t>
      </w:r>
      <w:r>
        <w:rPr>
          <w:rFonts w:eastAsia="Calibri" w:eastAsiaTheme="minorHAnsi"/>
          <w:lang w:eastAsia="en-US"/>
        </w:rPr>
        <w:t>чебный план состоит из инвариантной (обязательной) части, количество видов организованной образовательной деятельности в базовой части -11, что составляет 90%.</w:t>
      </w:r>
      <w:r>
        <w:rPr>
          <w:rFonts w:eastAsia="Calibri" w:eastAsiaTheme="minorHAnsi"/>
          <w:strike w:val="false"/>
          <w:dstrike w:val="false"/>
          <w:lang w:eastAsia="en-US"/>
        </w:rPr>
        <w:t>Вариативная согласно приказа Министерства образования и науки Республики Тыва №610д от 29 апреля 2019 года. О внедрении в ДОУ примерной образовательной программы по развитию родной (тувинской) речи в дошкольных образовательных учреждениях Республики Тыва «Торээн Тывам/Моя родная Тува» в вариативную часть включено 1 занятие по обучению детей родной (тувинскому) языку. Вариативная часть составляет 17%.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 </w:t>
      </w:r>
      <w:r>
        <w:rPr>
          <w:rFonts w:eastAsia="Calibri" w:eastAsiaTheme="minorHAnsi"/>
          <w:u w:val="single"/>
          <w:lang w:eastAsia="en-US"/>
        </w:rPr>
        <w:t>старшей группе (5-6 лет)</w:t>
      </w:r>
      <w:r>
        <w:rPr>
          <w:rFonts w:eastAsia="Calibri" w:eastAsiaTheme="minorHAnsi"/>
          <w:lang w:eastAsia="en-US"/>
        </w:rPr>
        <w:t xml:space="preserve"> инвариантная (обязательная) часть составляет  73% , количество видов организованной образовательной деятельности в базовой части -13. Занятие по разделу «Ознакомление с окружающим» в старшей группе заменено согласно национально-регионального компонента РТ занятием «Окружающий мир. Хурээлел» и проводится 1 раз в неделю, включены в вариативную часть. Обучение детей русскому языку проводится на занятиях в старшей группе по 2 занятия в неделю  и данные виды организованной образовательной деятельности включены в вариативную часть. 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(кружковые, факультативные). Поэтому вариативная  часть учебного плана для детей этой возрастной группы включает кружок «Умники и умницы», «Ростки», «Веселый язычок», «Тувинский язык-детям», «Речевичок» , секция «Хуреш» - 1 раз в  неделю (чередуется). Вариативная часть в старшей группе  35%.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/>
      </w:pPr>
      <w:r>
        <w:rPr>
          <w:rFonts w:eastAsia="Calibri" w:eastAsiaTheme="minorHAnsi"/>
          <w:sz w:val="28"/>
          <w:szCs w:val="28"/>
          <w:lang w:eastAsia="en-US"/>
        </w:rPr>
        <w:t>Учебный план.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W w:w="11006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9"/>
        <w:gridCol w:w="2909"/>
        <w:gridCol w:w="632"/>
        <w:gridCol w:w="849"/>
        <w:gridCol w:w="560"/>
        <w:gridCol w:w="706"/>
        <w:gridCol w:w="705"/>
        <w:gridCol w:w="18"/>
        <w:gridCol w:w="560"/>
        <w:gridCol w:w="596"/>
        <w:gridCol w:w="542"/>
        <w:gridCol w:w="596"/>
        <w:gridCol w:w="543"/>
        <w:gridCol w:w="560"/>
        <w:gridCol w:w="54"/>
        <w:gridCol w:w="506"/>
      </w:tblGrid>
      <w:tr>
        <w:trPr>
          <w:trHeight w:val="536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вид деятельности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гр. раннего возраста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младшая группа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младшая группа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8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компонент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ориентировки в окружающем и развитие речи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движений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строительным материалом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дидактическим материалом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Познавательное развитие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86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ФЭМП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Физическое  развитие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</w:tc>
      </w:tr>
      <w:tr>
        <w:trPr>
          <w:trHeight w:val="1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Аппликация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13" w:right="-2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13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0.5</w:t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70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Речевое развитие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96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9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Фронтальное логопедическое занятие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9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Подгрупповое логопедическое занятие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9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742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Социально-коммуникативное развитие</w:t>
            </w:r>
          </w:p>
        </w:tc>
      </w:tr>
      <w:tr>
        <w:trPr>
          <w:trHeight w:val="258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режимных моментов и через интеграцию с другими образовательными областями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3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Национально-региональный компонент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Хурээлел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Хуреш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0..5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0..5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«Тувинский язык-детям»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11</w:t>
            </w:r>
          </w:p>
        </w:tc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44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12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48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19.5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78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center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b/>
          <w:bCs/>
        </w:rPr>
        <w:t>Совместная  образовательная деятельность  воспитателя и  детей в режимных моментах</w:t>
      </w:r>
    </w:p>
    <w:tbl>
      <w:tblPr>
        <w:tblW w:w="11513" w:type="dxa"/>
        <w:jc w:val="left"/>
        <w:tblInd w:w="-1189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211"/>
        <w:gridCol w:w="1916"/>
        <w:gridCol w:w="2078"/>
        <w:gridCol w:w="3250"/>
        <w:gridCol w:w="58"/>
      </w:tblGrid>
      <w:tr>
        <w:trPr>
          <w:trHeight w:val="375" w:hRule="atLeast"/>
        </w:trPr>
        <w:tc>
          <w:tcPr>
            <w:tcW w:w="42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72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375" w:hRule="atLeast"/>
        </w:trPr>
        <w:tc>
          <w:tcPr>
            <w:tcW w:w="4211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Младшая группа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Старшая группа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Подготовит. группа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Autospacing="1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Утренняя гимнастика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46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Autospacing="1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beforeAutospacing="1" w:afterAutospacing="1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Комплекс закаливающих процедур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Гигиенические процедуры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16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прогулки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b/>
                <w:b/>
                <w:bCs/>
                <w:iCs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Autospacing="1"/>
              <w:jc w:val="center"/>
              <w:rPr>
                <w:iCs/>
              </w:rPr>
            </w:pPr>
            <w:r>
              <w:rPr>
                <w:iCs/>
              </w:rPr>
              <w:t>ежедневно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Общение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Autospacing="1"/>
              <w:ind w:left="360" w:hanging="0"/>
              <w:jc w:val="center"/>
              <w:rPr>
                <w:b/>
                <w:b/>
                <w:bCs/>
                <w:iCs/>
              </w:rPr>
            </w:pPr>
            <w:r>
              <w:rPr>
                <w:iCs/>
              </w:rPr>
              <w:t>ежедневно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b/>
                <w:b/>
                <w:bCs/>
                <w:iCs/>
              </w:rPr>
            </w:pPr>
            <w:r>
              <w:rPr>
                <w:b/>
                <w:bCs/>
                <w:iCs/>
              </w:rPr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b/>
                <w:b/>
                <w:bCs/>
                <w:iCs/>
              </w:rPr>
            </w:pPr>
            <w:r>
              <w:rPr>
                <w:b/>
                <w:bCs/>
                <w:iCs/>
              </w:rPr>
            </w:r>
          </w:p>
        </w:tc>
      </w:tr>
      <w:tr>
        <w:trPr>
          <w:trHeight w:val="79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Беседы и разговоры с детьми по их интересам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381" w:hRule="atLeast"/>
        </w:trPr>
        <w:tc>
          <w:tcPr>
            <w:tcW w:w="114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Игровая деятельность, включая сюжетно-ролевую игру с правилами и другие виды игр</w:t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79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3 раза в неделю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3 раза в неделю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108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2 раза в неделю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Детская студия (театрализованные игры)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Досуг здоровья и подвижных игр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Подвижные игры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621" w:hRule="atLeast"/>
        </w:trPr>
        <w:tc>
          <w:tcPr>
            <w:tcW w:w="114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Познавательно -  исследовательская деятельность ( проектная деятельность )</w:t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Опыты, эксперименты, наблюдения (в том числе, экологической направленности,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 неделю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 неделю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8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Наблюдения за природой (на прогулке)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45" w:hRule="atLeast"/>
        </w:trPr>
        <w:tc>
          <w:tcPr>
            <w:tcW w:w="114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b/>
                <w:b/>
              </w:rPr>
            </w:pPr>
            <w:r>
              <w:rPr>
                <w:b/>
              </w:rPr>
              <w:t>Чтение литературных произведений</w:t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826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45" w:hRule="atLeast"/>
        </w:trPr>
        <w:tc>
          <w:tcPr>
            <w:tcW w:w="114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Самообсуживание и элементарный бытовой труд</w:t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Самообслуживание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4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Трудовые поручения, дежурства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ежедневно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4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/>
              <w:t>Трудовые поручения (общий и совместный труд)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-</w:t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iCs/>
              </w:rPr>
              <w:t>1 раз в 2 недели</w:t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>
          <w:trHeight w:val="540" w:hRule="atLeast"/>
        </w:trPr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Autospacing="1" w:afterAutospacing="1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pacing w:val="20"/>
          <w:sz w:val="22"/>
          <w:szCs w:val="22"/>
          <w:lang w:eastAsia="en-US"/>
        </w:rPr>
      </w:r>
    </w:p>
    <w:p>
      <w:pPr>
        <w:pStyle w:val="Normal"/>
        <w:spacing w:beforeAutospacing="1" w:afterAutospacing="1"/>
        <w:jc w:val="left"/>
        <w:rPr>
          <w:rFonts w:ascii="Calibri" w:hAnsi="Calibri" w:eastAsia="Calibri" w:cs="Calibri" w:eastAsiaTheme="minorHAnsi"/>
          <w:spacing w:val="20"/>
          <w:sz w:val="22"/>
          <w:szCs w:val="22"/>
          <w:lang w:eastAsia="en-US"/>
        </w:rPr>
      </w:pPr>
      <w:r>
        <w:rPr/>
      </w:r>
    </w:p>
    <w:sectPr>
      <w:type w:val="nextPage"/>
      <w:pgSz w:w="11906" w:h="16838"/>
      <w:pgMar w:left="15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6f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27e22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06f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27e22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LibreOffice/7.0.4.2$Windows_X86_64 LibreOffice_project/dcf040e67528d9187c66b2379df5ea4407429775</Application>
  <AppVersion>15.0000</AppVersion>
  <Pages>7</Pages>
  <Words>1192</Words>
  <Characters>7643</Characters>
  <CharactersWithSpaces>8674</CharactersWithSpaces>
  <Paragraphs>291</Paragraphs>
  <Company>Сказка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2017-09-04T08:16:00Z</dcterms:created>
  <dc:creator>Пикус Т.Е.</dc:creator>
  <dc:description/>
  <dc:language>ru-RU</dc:language>
  <cp:lastModifiedBy/>
  <cp:lastPrinted>2023-09-06T16:51:55Z</cp:lastPrinted>
  <dcterms:modified xsi:type="dcterms:W3CDTF">2023-09-11T12:01:58Z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